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80"/>
        <w:jc w:val="center"/>
      </w:pPr>
      <w:r>
        <w:rPr>
          <w:rFonts w:ascii="Times New Roman" w:cs="Times New Roman" w:eastAsia="Times New Roman" w:hAnsi="Times New Roman"/>
          <w:b/>
          <w:bCs/>
          <w:sz w:val="28"/>
          <w:szCs w:val="28"/>
        </w:rPr>
        <w:t xml:space="preserve">ANEXA 3</w:t>
      </w:r>
    </w:p>
    <w:p>
      <w:pPr>
        <w:spacing w:after="80"/>
        <w:jc w:val="center"/>
      </w:pPr>
      <w:r>
        <w:rPr>
          <w:rFonts w:ascii="Times New Roman" w:cs="Times New Roman" w:eastAsia="Times New Roman" w:hAnsi="Times New Roman"/>
          <w:sz w:val="22"/>
          <w:szCs w:val="22"/>
        </w:rPr>
        <w:t xml:space="preserve">la Anunțul privind selecția unui partener în vederea încheierii unui contract de parteneriat în cadrul Târgului de Crăciun București 2026</w:t>
      </w:r>
    </w:p>
    <w:p>
      <w:r>
        <w:rPr>
          <w:rFonts w:ascii="Times New Roman" w:cs="Times New Roman" w:eastAsia="Times New Roman" w:hAnsi="Times New Roman"/>
        </w:rPr>
        <w:t xml:space="preserve"/>
      </w:r>
    </w:p>
    <w:p>
      <w:pPr>
        <w:spacing w:after="80"/>
        <w:jc w:val="center"/>
      </w:pPr>
      <w:r>
        <w:rPr>
          <w:rFonts w:ascii="Times New Roman" w:cs="Times New Roman" w:eastAsia="Times New Roman" w:hAnsi="Times New Roman"/>
          <w:b/>
          <w:bCs/>
          <w:sz w:val="28"/>
          <w:szCs w:val="28"/>
        </w:rPr>
        <w:t xml:space="preserve">REGULAMENTUL DE PARTICIPARE LA TÂRGUL DE CRĂCIUN BUCUREȘTI 2026</w:t>
      </w:r>
    </w:p>
    <w:p>
      <w:pPr>
        <w:spacing w:after="80"/>
        <w:jc w:val="center"/>
      </w:pPr>
      <w:r>
        <w:rPr>
          <w:rFonts w:ascii="Times New Roman" w:cs="Times New Roman" w:eastAsia="Times New Roman" w:hAnsi="Times New Roman"/>
          <w:i/>
          <w:iCs/>
          <w:sz w:val="22"/>
          <w:szCs w:val="22"/>
        </w:rPr>
        <w:t xml:space="preserve">pentru partenerii care exploatează echipamente de agrement</w:t>
      </w:r>
    </w:p>
    <w:p>
      <w:r>
        <w:rPr>
          <w:rFonts w:ascii="Times New Roman" w:cs="Times New Roman" w:eastAsia="Times New Roman" w:hAnsi="Times New Roman"/>
        </w:rPr>
        <w:t xml:space="preserve"/>
      </w:r>
    </w:p>
    <w:p>
      <w:pPr>
        <w:keepNext/>
        <w:spacing w:after="100" w:before="200"/>
      </w:pPr>
      <w:r>
        <w:rPr>
          <w:rFonts w:ascii="Times New Roman" w:cs="Times New Roman" w:eastAsia="Times New Roman" w:hAnsi="Times New Roman"/>
          <w:b/>
          <w:bCs/>
          <w:sz w:val="22"/>
          <w:szCs w:val="22"/>
        </w:rPr>
        <w:t xml:space="preserve">Art. 1. Domeniul de aplicare</w:t>
      </w:r>
    </w:p>
    <w:p>
      <w:pPr>
        <w:spacing w:after="100" w:line="276"/>
        <w:jc w:val="both"/>
      </w:pPr>
      <w:r>
        <w:rPr>
          <w:rFonts w:ascii="Times New Roman" w:cs="Times New Roman" w:eastAsia="Times New Roman" w:hAnsi="Times New Roman"/>
          <w:sz w:val="22"/>
          <w:szCs w:val="22"/>
        </w:rPr>
        <w:t xml:space="preserve">(1) Prezentul regulament stabilește regulile de participare la Târgul de Crăciun București 2026, organizat de Arte și Evenimente Urbane București (AEUB) în Piața Constituției, în perioada 27 noiembrie – 27 decembrie 2026, pentru partenerii care exploatează echipamente de agrement.</w:t>
      </w:r>
    </w:p>
    <w:p>
      <w:pPr>
        <w:spacing w:after="100" w:line="276"/>
        <w:jc w:val="both"/>
      </w:pPr>
      <w:r>
        <w:rPr>
          <w:rFonts w:ascii="Times New Roman" w:cs="Times New Roman" w:eastAsia="Times New Roman" w:hAnsi="Times New Roman"/>
          <w:sz w:val="22"/>
          <w:szCs w:val="22"/>
        </w:rPr>
        <w:t xml:space="preserve">(2) Regulamentul se aplică Partenerului, personalului său, subcontractanților și oricăror persoane care intră în amplasament în numele Partenerului.</w:t>
      </w:r>
    </w:p>
    <w:p>
      <w:pPr>
        <w:spacing w:after="100" w:line="276"/>
        <w:jc w:val="both"/>
      </w:pPr>
      <w:r>
        <w:rPr>
          <w:rFonts w:ascii="Times New Roman" w:cs="Times New Roman" w:eastAsia="Times New Roman" w:hAnsi="Times New Roman"/>
          <w:sz w:val="22"/>
          <w:szCs w:val="22"/>
        </w:rPr>
        <w:t xml:space="preserve">(3) Participarea la Târg în condițiile prezentului regulament nu presupune plata vreunei taxe de participare sau a altor sume către AEUB, în afara celor prevăzute în contractul de parteneriat.</w:t>
      </w:r>
    </w:p>
    <w:p>
      <w:pPr>
        <w:keepNext/>
        <w:spacing w:after="100" w:before="200"/>
      </w:pPr>
      <w:r>
        <w:rPr>
          <w:rFonts w:ascii="Times New Roman" w:cs="Times New Roman" w:eastAsia="Times New Roman" w:hAnsi="Times New Roman"/>
          <w:b/>
          <w:bCs/>
          <w:sz w:val="22"/>
          <w:szCs w:val="22"/>
        </w:rPr>
        <w:t xml:space="preserve">Art. 2. Programul Târgului</w:t>
      </w:r>
    </w:p>
    <w:p>
      <w:pPr>
        <w:spacing w:after="100" w:line="276"/>
        <w:jc w:val="both"/>
      </w:pPr>
      <w:r>
        <w:rPr>
          <w:rFonts w:ascii="Times New Roman" w:cs="Times New Roman" w:eastAsia="Times New Roman" w:hAnsi="Times New Roman"/>
          <w:sz w:val="22"/>
          <w:szCs w:val="22"/>
        </w:rPr>
        <w:t xml:space="preserve">(1) Programul de funcționare a Târgului este: luni–vineri 12:00–22:00; sâmbătă–duminică 10:00–22:00. Programul special (deschidere, aprinderea iluminatului festiv, zile de sărbătoare) se comunică în scris de AEUB, cu cel puțin 48 de ore înainte.</w:t>
      </w:r>
    </w:p>
    <w:p>
      <w:pPr>
        <w:spacing w:after="100" w:line="276"/>
        <w:jc w:val="both"/>
      </w:pPr>
      <w:r>
        <w:rPr>
          <w:rFonts w:ascii="Times New Roman" w:cs="Times New Roman" w:eastAsia="Times New Roman" w:hAnsi="Times New Roman"/>
          <w:sz w:val="22"/>
          <w:szCs w:val="22"/>
        </w:rPr>
        <w:t xml:space="preserve">(2) Echipamentele funcționează pe întreaga durată a programului. Echipamentele sunt pregătite de funcționare cu cel puțin 30 de minute înainte de deschidere, iar ultima cursă începe cel târziu la ora închiderii.</w:t>
      </w:r>
    </w:p>
    <w:p>
      <w:pPr>
        <w:spacing w:after="100" w:line="276"/>
        <w:jc w:val="both"/>
      </w:pPr>
      <w:r>
        <w:rPr>
          <w:rFonts w:ascii="Times New Roman" w:cs="Times New Roman" w:eastAsia="Times New Roman" w:hAnsi="Times New Roman"/>
          <w:sz w:val="22"/>
          <w:szCs w:val="22"/>
        </w:rPr>
        <w:t xml:space="preserve">(3) Activitățile de aprovizionare, mentenanță programată și curățenie se desfășoară în afara programului de acces al publicului.</w:t>
      </w:r>
    </w:p>
    <w:p>
      <w:pPr>
        <w:keepNext/>
        <w:spacing w:after="100" w:before="200"/>
      </w:pPr>
      <w:r>
        <w:rPr>
          <w:rFonts w:ascii="Times New Roman" w:cs="Times New Roman" w:eastAsia="Times New Roman" w:hAnsi="Times New Roman"/>
          <w:b/>
          <w:bCs/>
          <w:sz w:val="22"/>
          <w:szCs w:val="22"/>
        </w:rPr>
        <w:t xml:space="preserve">Art. 3. Accesul în amplasament</w:t>
      </w:r>
    </w:p>
    <w:p>
      <w:pPr>
        <w:spacing w:after="100" w:line="276"/>
        <w:jc w:val="both"/>
      </w:pPr>
      <w:r>
        <w:rPr>
          <w:rFonts w:ascii="Times New Roman" w:cs="Times New Roman" w:eastAsia="Times New Roman" w:hAnsi="Times New Roman"/>
          <w:sz w:val="22"/>
          <w:szCs w:val="22"/>
        </w:rPr>
        <w:t xml:space="preserve">(1) Partenerul are acces în amplasament numai în zonele stabilite prin planul de amenajare și numai pentru activitățile prevăzute în contract.</w:t>
      </w:r>
    </w:p>
    <w:p>
      <w:pPr>
        <w:spacing w:after="100" w:line="276"/>
        <w:jc w:val="both"/>
      </w:pPr>
      <w:r>
        <w:rPr>
          <w:rFonts w:ascii="Times New Roman" w:cs="Times New Roman" w:eastAsia="Times New Roman" w:hAnsi="Times New Roman"/>
          <w:sz w:val="22"/>
          <w:szCs w:val="22"/>
        </w:rPr>
        <w:t xml:space="preserve">(2) Partenerul transmite AEUB, înainte de începerea montajului, lista nominală a personalului și lista autovehiculelor care vor intra în amplasament. Personalul poartă permanent ecusonul de identificare.</w:t>
      </w:r>
    </w:p>
    <w:p>
      <w:pPr>
        <w:spacing w:after="100" w:line="276"/>
        <w:jc w:val="both"/>
      </w:pPr>
      <w:r>
        <w:rPr>
          <w:rFonts w:ascii="Times New Roman" w:cs="Times New Roman" w:eastAsia="Times New Roman" w:hAnsi="Times New Roman"/>
          <w:sz w:val="22"/>
          <w:szCs w:val="22"/>
        </w:rPr>
        <w:t xml:space="preserve">(3) Accesul autovehiculelor în amplasament pe durata programului Târgului este interzis, cu excepția situațiilor de urgență. Aprovizionarea se face în intervalele comunicate de AEUB.</w:t>
      </w:r>
    </w:p>
    <w:p>
      <w:pPr>
        <w:spacing w:after="100" w:line="276"/>
        <w:jc w:val="both"/>
      </w:pPr>
      <w:r>
        <w:rPr>
          <w:rFonts w:ascii="Times New Roman" w:cs="Times New Roman" w:eastAsia="Times New Roman" w:hAnsi="Times New Roman"/>
          <w:sz w:val="22"/>
          <w:szCs w:val="22"/>
        </w:rPr>
        <w:t xml:space="preserve">(4) Partenerul respectă indicațiile personalului AEUB, ale serviciului de pază și ale autorităților prezente în amplasament.</w:t>
      </w:r>
    </w:p>
    <w:p>
      <w:pPr>
        <w:keepNext/>
        <w:spacing w:after="100" w:before="200"/>
      </w:pPr>
      <w:r>
        <w:rPr>
          <w:rFonts w:ascii="Times New Roman" w:cs="Times New Roman" w:eastAsia="Times New Roman" w:hAnsi="Times New Roman"/>
          <w:b/>
          <w:bCs/>
          <w:sz w:val="22"/>
          <w:szCs w:val="22"/>
        </w:rPr>
        <w:t xml:space="preserve">Art. 4. Montajul și demontajul</w:t>
      </w:r>
    </w:p>
    <w:p>
      <w:pPr>
        <w:spacing w:after="100" w:line="276"/>
        <w:jc w:val="both"/>
      </w:pPr>
      <w:r>
        <w:rPr>
          <w:rFonts w:ascii="Times New Roman" w:cs="Times New Roman" w:eastAsia="Times New Roman" w:hAnsi="Times New Roman"/>
          <w:sz w:val="22"/>
          <w:szCs w:val="22"/>
        </w:rPr>
        <w:t xml:space="preserve">(1) Montajul și demontajul se desfășoară în perioadele prevăzute în contract și potrivit calendarului tehnic comunicat de AEUB, astfel încât să nu afecteze lucrările celorlalți participanți și siguranța publicului.</w:t>
      </w:r>
    </w:p>
    <w:p>
      <w:pPr>
        <w:spacing w:after="100" w:line="276"/>
        <w:jc w:val="both"/>
      </w:pPr>
      <w:r>
        <w:rPr>
          <w:rFonts w:ascii="Times New Roman" w:cs="Times New Roman" w:eastAsia="Times New Roman" w:hAnsi="Times New Roman"/>
          <w:sz w:val="22"/>
          <w:szCs w:val="22"/>
        </w:rPr>
        <w:t xml:space="preserve">(2) Zonele de lucru se delimitează și se semnalizează pe toată durata montajului și a demontajului. Lucrul la înălțime și operarea utilajelor de ridicat se fac numai de personal autorizat.</w:t>
      </w:r>
    </w:p>
    <w:p>
      <w:pPr>
        <w:spacing w:after="100" w:line="276"/>
        <w:jc w:val="both"/>
      </w:pPr>
      <w:r>
        <w:rPr>
          <w:rFonts w:ascii="Times New Roman" w:cs="Times New Roman" w:eastAsia="Times New Roman" w:hAnsi="Times New Roman"/>
          <w:sz w:val="22"/>
          <w:szCs w:val="22"/>
        </w:rPr>
        <w:t xml:space="preserve">(3) Este interzisă ancorarea în asfalt sau fixarea de elementele existente în amplasament. Eventualele deteriorări se remediază pe cheltuiala Partenerului.</w:t>
      </w:r>
    </w:p>
    <w:p>
      <w:pPr>
        <w:spacing w:after="100" w:line="276"/>
        <w:jc w:val="both"/>
      </w:pPr>
      <w:r>
        <w:rPr>
          <w:rFonts w:ascii="Times New Roman" w:cs="Times New Roman" w:eastAsia="Times New Roman" w:hAnsi="Times New Roman"/>
          <w:sz w:val="22"/>
          <w:szCs w:val="22"/>
        </w:rPr>
        <w:t xml:space="preserve">(4) La finalizarea demontajului, amplasamentul se predă AEUB curat, liber de orice bun al Partenerului și în starea constatată la predare.</w:t>
      </w:r>
    </w:p>
    <w:p>
      <w:pPr>
        <w:keepNext/>
        <w:spacing w:after="100" w:before="200"/>
      </w:pPr>
      <w:r>
        <w:rPr>
          <w:rFonts w:ascii="Times New Roman" w:cs="Times New Roman" w:eastAsia="Times New Roman" w:hAnsi="Times New Roman"/>
          <w:b/>
          <w:bCs/>
          <w:sz w:val="22"/>
          <w:szCs w:val="22"/>
        </w:rPr>
        <w:t xml:space="preserve">Art. 5. Relația cu publicul</w:t>
      </w:r>
    </w:p>
    <w:p>
      <w:pPr>
        <w:spacing w:after="100" w:line="276"/>
        <w:jc w:val="both"/>
      </w:pPr>
      <w:r>
        <w:rPr>
          <w:rFonts w:ascii="Times New Roman" w:cs="Times New Roman" w:eastAsia="Times New Roman" w:hAnsi="Times New Roman"/>
          <w:sz w:val="22"/>
          <w:szCs w:val="22"/>
        </w:rPr>
        <w:t xml:space="preserve">(1) Partenerul afișează la fiecare echipament, vizibil și lizibil, în limbile română și engleză: tarifele aprobate, gratuitățile, programul, regulamentul de utilizare, limitele de vârstă, înălțime sau greutate și datele de identificare ale exploatantului.</w:t>
      </w:r>
    </w:p>
    <w:p>
      <w:pPr>
        <w:spacing w:after="100" w:line="276"/>
        <w:jc w:val="both"/>
      </w:pPr>
      <w:r>
        <w:rPr>
          <w:rFonts w:ascii="Times New Roman" w:cs="Times New Roman" w:eastAsia="Times New Roman" w:hAnsi="Times New Roman"/>
          <w:sz w:val="22"/>
          <w:szCs w:val="22"/>
        </w:rPr>
        <w:t xml:space="preserve">(2) Personalul Partenerului are o conduită civilizată față de public, poartă ținută și ecuson și cunoaște procedurile de urgență.</w:t>
      </w:r>
    </w:p>
    <w:p>
      <w:pPr>
        <w:spacing w:after="100" w:line="276"/>
        <w:jc w:val="both"/>
      </w:pPr>
      <w:r>
        <w:rPr>
          <w:rFonts w:ascii="Times New Roman" w:cs="Times New Roman" w:eastAsia="Times New Roman" w:hAnsi="Times New Roman"/>
          <w:sz w:val="22"/>
          <w:szCs w:val="22"/>
        </w:rPr>
        <w:t xml:space="preserve">(3) Partenerul pune la dispoziția publicului un registru de sugestii și reclamații și transmite AEUB, săptămânal, reclamațiile primite și modul de soluționare.</w:t>
      </w:r>
    </w:p>
    <w:p>
      <w:pPr>
        <w:spacing w:after="100" w:line="276"/>
        <w:jc w:val="both"/>
      </w:pPr>
      <w:r>
        <w:rPr>
          <w:rFonts w:ascii="Times New Roman" w:cs="Times New Roman" w:eastAsia="Times New Roman" w:hAnsi="Times New Roman"/>
          <w:sz w:val="22"/>
          <w:szCs w:val="22"/>
        </w:rPr>
        <w:t xml:space="preserve">(4) Este interzisă perceperea de la public a altor sume decât tarifele aprobate.</w:t>
      </w:r>
    </w:p>
    <w:p>
      <w:pPr>
        <w:keepNext/>
        <w:spacing w:after="100" w:before="200"/>
      </w:pPr>
      <w:r>
        <w:rPr>
          <w:rFonts w:ascii="Times New Roman" w:cs="Times New Roman" w:eastAsia="Times New Roman" w:hAnsi="Times New Roman"/>
          <w:b/>
          <w:bCs/>
          <w:sz w:val="22"/>
          <w:szCs w:val="22"/>
        </w:rPr>
        <w:t xml:space="preserve">Art. 6. Identitatea vizuală, publicitatea și sonorizarea</w:t>
      </w:r>
    </w:p>
    <w:p>
      <w:pPr>
        <w:spacing w:after="100" w:line="276"/>
        <w:jc w:val="both"/>
      </w:pPr>
      <w:r>
        <w:rPr>
          <w:rFonts w:ascii="Times New Roman" w:cs="Times New Roman" w:eastAsia="Times New Roman" w:hAnsi="Times New Roman"/>
          <w:sz w:val="22"/>
          <w:szCs w:val="22"/>
        </w:rPr>
        <w:t xml:space="preserve">(1) Partenerul respectă identitatea vizuală a Târgului. Decorațiunile și iluminatul echipamentelor se integrează în conceptul vizual al evenimentului.</w:t>
      </w:r>
    </w:p>
    <w:p>
      <w:pPr>
        <w:spacing w:after="100" w:line="276"/>
        <w:jc w:val="both"/>
      </w:pPr>
      <w:r>
        <w:rPr>
          <w:rFonts w:ascii="Times New Roman" w:cs="Times New Roman" w:eastAsia="Times New Roman" w:hAnsi="Times New Roman"/>
          <w:sz w:val="22"/>
          <w:szCs w:val="22"/>
        </w:rPr>
        <w:t xml:space="preserve">(2) Afișarea de publicitate, sigle comerciale ori materiale promoționale, altele decât denumirea exploatantului și informațiile obligatorii, este permisă numai cu acordul scris prealabil al AEUB.</w:t>
      </w:r>
    </w:p>
    <w:p>
      <w:pPr>
        <w:spacing w:after="100" w:line="276"/>
        <w:jc w:val="both"/>
      </w:pPr>
      <w:r>
        <w:rPr>
          <w:rFonts w:ascii="Times New Roman" w:cs="Times New Roman" w:eastAsia="Times New Roman" w:hAnsi="Times New Roman"/>
          <w:sz w:val="22"/>
          <w:szCs w:val="22"/>
        </w:rPr>
        <w:t xml:space="preserve">(3) Sistemele audio ale echipamentelor se folosesc numai pentru sunet ambiental local, la un nivel care nu afectează programul artistic al Târgului. AEUB poate dispune reducerea volumului sau oprirea sonorizării.</w:t>
      </w:r>
    </w:p>
    <w:p>
      <w:pPr>
        <w:keepNext/>
        <w:spacing w:after="100" w:before="200"/>
      </w:pPr>
      <w:r>
        <w:rPr>
          <w:rFonts w:ascii="Times New Roman" w:cs="Times New Roman" w:eastAsia="Times New Roman" w:hAnsi="Times New Roman"/>
          <w:b/>
          <w:bCs/>
          <w:sz w:val="22"/>
          <w:szCs w:val="22"/>
        </w:rPr>
        <w:t xml:space="preserve">Art. 7. Activități interzise</w:t>
      </w:r>
    </w:p>
    <w:p>
      <w:pPr>
        <w:spacing w:after="100" w:line="276"/>
        <w:jc w:val="both"/>
      </w:pPr>
      <w:r>
        <w:rPr>
          <w:rFonts w:ascii="Times New Roman" w:cs="Times New Roman" w:eastAsia="Times New Roman" w:hAnsi="Times New Roman"/>
          <w:sz w:val="22"/>
          <w:szCs w:val="22"/>
        </w:rPr>
        <w:t xml:space="preserve">În amplasament sunt interzise:</w:t>
      </w:r>
    </w:p>
    <w:p>
      <w:pPr>
        <w:spacing w:after="100" w:line="276"/>
        <w:ind w:left="360"/>
        <w:jc w:val="both"/>
      </w:pPr>
      <w:r>
        <w:rPr>
          <w:rFonts w:ascii="Times New Roman" w:cs="Times New Roman" w:eastAsia="Times New Roman" w:hAnsi="Times New Roman"/>
          <w:sz w:val="22"/>
          <w:szCs w:val="22"/>
        </w:rPr>
        <w:t xml:space="preserve">a) vânzarea de alimente, băuturi, produse sau servicii, altele decât biletele de acces la echipamente;</w:t>
      </w:r>
    </w:p>
    <w:p>
      <w:pPr>
        <w:spacing w:after="100" w:line="276"/>
        <w:ind w:left="360"/>
        <w:jc w:val="both"/>
      </w:pPr>
      <w:r>
        <w:rPr>
          <w:rFonts w:ascii="Times New Roman" w:cs="Times New Roman" w:eastAsia="Times New Roman" w:hAnsi="Times New Roman"/>
          <w:sz w:val="22"/>
          <w:szCs w:val="22"/>
        </w:rPr>
        <w:t xml:space="preserve">b) desfășurarea de evenimente proprii, concursuri sau tombole fără acordul scris al AEUB;</w:t>
      </w:r>
    </w:p>
    <w:p>
      <w:pPr>
        <w:spacing w:after="100" w:line="276"/>
        <w:ind w:left="360"/>
        <w:jc w:val="both"/>
      </w:pPr>
      <w:r>
        <w:rPr>
          <w:rFonts w:ascii="Times New Roman" w:cs="Times New Roman" w:eastAsia="Times New Roman" w:hAnsi="Times New Roman"/>
          <w:sz w:val="22"/>
          <w:szCs w:val="22"/>
        </w:rPr>
        <w:t xml:space="preserve">c) depozitarea de materiale inflamabile, cu excepția combustibilului pentru generatorul de rezervă, în condițiile legii;</w:t>
      </w:r>
    </w:p>
    <w:p>
      <w:pPr>
        <w:spacing w:after="100" w:line="276"/>
        <w:ind w:left="360"/>
        <w:jc w:val="both"/>
      </w:pPr>
      <w:r>
        <w:rPr>
          <w:rFonts w:ascii="Times New Roman" w:cs="Times New Roman" w:eastAsia="Times New Roman" w:hAnsi="Times New Roman"/>
          <w:sz w:val="22"/>
          <w:szCs w:val="22"/>
        </w:rPr>
        <w:t xml:space="preserve">d) folosirea focului deschis și fumatul în afara zonelor amenajate;</w:t>
      </w:r>
    </w:p>
    <w:p>
      <w:pPr>
        <w:spacing w:after="100" w:line="276"/>
        <w:ind w:left="360"/>
        <w:jc w:val="both"/>
      </w:pPr>
      <w:r>
        <w:rPr>
          <w:rFonts w:ascii="Times New Roman" w:cs="Times New Roman" w:eastAsia="Times New Roman" w:hAnsi="Times New Roman"/>
          <w:sz w:val="22"/>
          <w:szCs w:val="22"/>
        </w:rPr>
        <w:t xml:space="preserve">e) consumul de alcool sau de substanțe interzise de către personal în timpul programului.</w:t>
      </w:r>
    </w:p>
    <w:p>
      <w:pPr>
        <w:keepNext/>
        <w:spacing w:after="100" w:before="200"/>
      </w:pPr>
      <w:r>
        <w:rPr>
          <w:rFonts w:ascii="Times New Roman" w:cs="Times New Roman" w:eastAsia="Times New Roman" w:hAnsi="Times New Roman"/>
          <w:b/>
          <w:bCs/>
          <w:sz w:val="22"/>
          <w:szCs w:val="22"/>
        </w:rPr>
        <w:t xml:space="preserve">Art. 8. Siguranța și situațiile de urgență</w:t>
      </w:r>
    </w:p>
    <w:p>
      <w:pPr>
        <w:spacing w:after="100" w:line="276"/>
        <w:jc w:val="both"/>
      </w:pPr>
      <w:r>
        <w:rPr>
          <w:rFonts w:ascii="Times New Roman" w:cs="Times New Roman" w:eastAsia="Times New Roman" w:hAnsi="Times New Roman"/>
          <w:sz w:val="22"/>
          <w:szCs w:val="22"/>
        </w:rPr>
        <w:t xml:space="preserve">(1) Partenerul respectă legislația privind securitatea și sănătatea în muncă și apărarea împotriva incendiilor și asigură la fiecare echipament stingătoare și trusă de prim ajutor.</w:t>
      </w:r>
    </w:p>
    <w:p>
      <w:pPr>
        <w:spacing w:after="100" w:line="276"/>
        <w:jc w:val="both"/>
      </w:pPr>
      <w:r>
        <w:rPr>
          <w:rFonts w:ascii="Times New Roman" w:cs="Times New Roman" w:eastAsia="Times New Roman" w:hAnsi="Times New Roman"/>
          <w:sz w:val="22"/>
          <w:szCs w:val="22"/>
        </w:rPr>
        <w:t xml:space="preserve">(2) Zonele de funcționare, de acces și de așteptare se împrejmuiesc, cu fluxuri de intrare și ieșire separate, astfel încât să se prevină accesul necontrolat și să se asigure evacuarea.</w:t>
      </w:r>
    </w:p>
    <w:p>
      <w:pPr>
        <w:spacing w:after="100" w:line="276"/>
        <w:jc w:val="both"/>
      </w:pPr>
      <w:r>
        <w:rPr>
          <w:rFonts w:ascii="Times New Roman" w:cs="Times New Roman" w:eastAsia="Times New Roman" w:hAnsi="Times New Roman"/>
          <w:sz w:val="22"/>
          <w:szCs w:val="22"/>
        </w:rPr>
        <w:t xml:space="preserve">(3) Partenerul cunoaște și aplică planul de evacuare al Târgului, comunicat de AEUB, și propriul plan de intervenție. În caz de alarmă, oprește imediat echipamentele și urmează indicațiile organizatorului și ale autorităților.</w:t>
      </w:r>
    </w:p>
    <w:p>
      <w:pPr>
        <w:spacing w:after="100" w:line="276"/>
        <w:jc w:val="both"/>
      </w:pPr>
      <w:r>
        <w:rPr>
          <w:rFonts w:ascii="Times New Roman" w:cs="Times New Roman" w:eastAsia="Times New Roman" w:hAnsi="Times New Roman"/>
          <w:sz w:val="22"/>
          <w:szCs w:val="22"/>
        </w:rPr>
        <w:t xml:space="preserve">(4) La depășirea limitelor de exploatare stabilite de producător (vânt, temperatură, zăpadă sau gheață), echipamentele se opresc, iar AEUB este informată imediat.</w:t>
      </w:r>
    </w:p>
    <w:p>
      <w:pPr>
        <w:keepNext/>
        <w:spacing w:after="100" w:before="200"/>
      </w:pPr>
      <w:r>
        <w:rPr>
          <w:rFonts w:ascii="Times New Roman" w:cs="Times New Roman" w:eastAsia="Times New Roman" w:hAnsi="Times New Roman"/>
          <w:b/>
          <w:bCs/>
          <w:sz w:val="22"/>
          <w:szCs w:val="22"/>
        </w:rPr>
        <w:t xml:space="preserve">Art. 9. Curățenia și deșeurile</w:t>
      </w:r>
    </w:p>
    <w:p>
      <w:pPr>
        <w:spacing w:after="100" w:line="276"/>
        <w:jc w:val="both"/>
      </w:pPr>
      <w:r>
        <w:rPr>
          <w:rFonts w:ascii="Times New Roman" w:cs="Times New Roman" w:eastAsia="Times New Roman" w:hAnsi="Times New Roman"/>
          <w:sz w:val="22"/>
          <w:szCs w:val="22"/>
        </w:rPr>
        <w:t xml:space="preserve">Partenerul menține curățenia în interiorul echipamentelor și în zonele de acces și așteptare, colectează deșeurile rezultate din activitatea sa în recipiente proprii și le depune în punctele de colectare indicate de AEUB.</w:t>
      </w:r>
    </w:p>
    <w:p>
      <w:pPr>
        <w:keepNext/>
        <w:spacing w:after="100" w:before="200"/>
      </w:pPr>
      <w:r>
        <w:rPr>
          <w:rFonts w:ascii="Times New Roman" w:cs="Times New Roman" w:eastAsia="Times New Roman" w:hAnsi="Times New Roman"/>
          <w:b/>
          <w:bCs/>
          <w:sz w:val="22"/>
          <w:szCs w:val="22"/>
        </w:rPr>
        <w:t xml:space="preserve">Art. 10. Coordonarea cu organizatorul</w:t>
      </w:r>
    </w:p>
    <w:p>
      <w:pPr>
        <w:spacing w:after="100" w:line="276"/>
        <w:jc w:val="both"/>
      </w:pPr>
      <w:r>
        <w:rPr>
          <w:rFonts w:ascii="Times New Roman" w:cs="Times New Roman" w:eastAsia="Times New Roman" w:hAnsi="Times New Roman"/>
          <w:sz w:val="22"/>
          <w:szCs w:val="22"/>
        </w:rPr>
        <w:t xml:space="preserve">(1) Coordonatorul desemnat de Partener este persoana de legătură cu AEUB și este disponibil telefonic pe toată durata programului, precum și în perioadele de montaj și demontaj.</w:t>
      </w:r>
    </w:p>
    <w:p>
      <w:pPr>
        <w:spacing w:after="100" w:line="276"/>
        <w:jc w:val="both"/>
      </w:pPr>
      <w:r>
        <w:rPr>
          <w:rFonts w:ascii="Times New Roman" w:cs="Times New Roman" w:eastAsia="Times New Roman" w:hAnsi="Times New Roman"/>
          <w:sz w:val="22"/>
          <w:szCs w:val="22"/>
        </w:rPr>
        <w:t xml:space="preserve">(2) Partenerul participă la ședințele operative convocate de AEUB și aplică măsurile stabilite.</w:t>
      </w:r>
    </w:p>
    <w:p>
      <w:pPr>
        <w:spacing w:after="100" w:line="276"/>
        <w:jc w:val="both"/>
      </w:pPr>
      <w:r>
        <w:rPr>
          <w:rFonts w:ascii="Times New Roman" w:cs="Times New Roman" w:eastAsia="Times New Roman" w:hAnsi="Times New Roman"/>
          <w:sz w:val="22"/>
          <w:szCs w:val="22"/>
        </w:rPr>
        <w:t xml:space="preserve">(3) Orice incident, accident, defecțiune sau reclamație importantă se comunică imediat persoanei de contact desemnate de AEUB.</w:t>
      </w:r>
    </w:p>
    <w:p>
      <w:pPr>
        <w:keepNext/>
        <w:spacing w:after="100" w:before="200"/>
      </w:pPr>
      <w:r>
        <w:rPr>
          <w:rFonts w:ascii="Times New Roman" w:cs="Times New Roman" w:eastAsia="Times New Roman" w:hAnsi="Times New Roman"/>
          <w:b/>
          <w:bCs/>
          <w:sz w:val="22"/>
          <w:szCs w:val="22"/>
        </w:rPr>
        <w:t xml:space="preserve">Art. 11. Măsuri în caz de nerespectare</w:t>
      </w:r>
    </w:p>
    <w:p>
      <w:pPr>
        <w:spacing w:after="100" w:line="276"/>
        <w:jc w:val="both"/>
      </w:pPr>
      <w:r>
        <w:rPr>
          <w:rFonts w:ascii="Times New Roman" w:cs="Times New Roman" w:eastAsia="Times New Roman" w:hAnsi="Times New Roman"/>
          <w:sz w:val="22"/>
          <w:szCs w:val="22"/>
        </w:rPr>
        <w:t xml:space="preserve">(1) Nerespectarea prezentului regulament se constată de persoana responsabilă desemnată de AEUB, prin proces-verbal comunicat Partenerului.</w:t>
      </w:r>
    </w:p>
    <w:p>
      <w:pPr>
        <w:spacing w:after="100" w:line="276"/>
        <w:jc w:val="both"/>
      </w:pPr>
      <w:r>
        <w:rPr>
          <w:rFonts w:ascii="Times New Roman" w:cs="Times New Roman" w:eastAsia="Times New Roman" w:hAnsi="Times New Roman"/>
          <w:sz w:val="22"/>
          <w:szCs w:val="22"/>
        </w:rPr>
        <w:t xml:space="preserve">(2) În funcție de gravitate, AEUB poate dispune: avertismentul scris, cu termen de remediere; oprirea temporară a echipamentului până la remediere; aplicarea penalităților prevăzute în contract; rezilierea contractului, în condițiile acestuia.</w:t>
      </w:r>
    </w:p>
    <w:p>
      <w:pPr>
        <w:spacing w:after="100" w:line="276"/>
        <w:jc w:val="both"/>
      </w:pPr>
      <w:r>
        <w:rPr>
          <w:rFonts w:ascii="Times New Roman" w:cs="Times New Roman" w:eastAsia="Times New Roman" w:hAnsi="Times New Roman"/>
          <w:sz w:val="22"/>
          <w:szCs w:val="22"/>
        </w:rPr>
        <w:t xml:space="preserve">(3) Măsurile dispuse din motive de siguranță a publicului se aplică imediat și nu dau dreptul la despăgubiri.</w:t>
      </w:r>
    </w:p>
    <w:p>
      <w:pPr>
        <w:keepNext/>
        <w:spacing w:after="100" w:before="200"/>
      </w:pPr>
      <w:r>
        <w:rPr>
          <w:rFonts w:ascii="Times New Roman" w:cs="Times New Roman" w:eastAsia="Times New Roman" w:hAnsi="Times New Roman"/>
          <w:b/>
          <w:bCs/>
          <w:sz w:val="22"/>
          <w:szCs w:val="22"/>
        </w:rPr>
        <w:t xml:space="preserve">Art. 12. Dispoziții finale</w:t>
      </w:r>
    </w:p>
    <w:p>
      <w:pPr>
        <w:spacing w:after="100" w:line="276"/>
        <w:jc w:val="both"/>
      </w:pPr>
      <w:r>
        <w:rPr>
          <w:rFonts w:ascii="Times New Roman" w:cs="Times New Roman" w:eastAsia="Times New Roman" w:hAnsi="Times New Roman"/>
          <w:sz w:val="22"/>
          <w:szCs w:val="22"/>
        </w:rPr>
        <w:t xml:space="preserve">(1) Prezentul regulament se completează cu prevederile contractului de parteneriat și ale documentației de selecție. În caz de neconcordanță, prevalează contractul.</w:t>
      </w:r>
    </w:p>
    <w:p>
      <w:pPr>
        <w:spacing w:after="100" w:line="276"/>
        <w:jc w:val="both"/>
      </w:pPr>
      <w:r>
        <w:rPr>
          <w:rFonts w:ascii="Times New Roman" w:cs="Times New Roman" w:eastAsia="Times New Roman" w:hAnsi="Times New Roman"/>
          <w:sz w:val="22"/>
          <w:szCs w:val="22"/>
        </w:rPr>
        <w:t xml:space="preserve">(2) Partenerul declară că a luat cunoștință de prezentul regulament și îl acceptă prin semnarea contractului.</w:t>
      </w:r>
    </w:p>
    <w:sectPr w:rsidR="008E6359" w:rsidRPr="00B60663" w:rsidSect="00B60663">
      <w:headerReference w:type="even" r:id="rId8"/>
      <w:headerReference w:type="default" r:id="rId9"/>
      <w:footerReference w:type="even" r:id="rId10"/>
      <w:footerReference w:type="default" r:id="rId11"/>
      <w:pgSz w:w="12240" w:h="15840"/>
      <w:pgMar w:top="1415" w:right="900" w:bottom="1539" w:left="1701" w:header="720" w:footer="888"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A897E" w14:textId="77777777" w:rsidR="00B93C1D" w:rsidRDefault="00B93C1D">
      <w:pPr>
        <w:spacing w:after="0" w:line="240" w:lineRule="auto"/>
      </w:pPr>
      <w:r>
        <w:separator/>
      </w:r>
    </w:p>
  </w:endnote>
  <w:endnote w:type="continuationSeparator" w:id="0">
    <w:p w14:paraId="7C6EF2A0" w14:textId="77777777" w:rsidR="00B93C1D" w:rsidRDefault="00B93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imSun;宋体">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E18D8" w14:textId="6D9AF16E" w:rsidR="007858C0" w:rsidRDefault="00715703">
    <w:pPr>
      <w:pStyle w:val="Footer"/>
      <w:rPr>
        <w:lang w:eastAsia="en-US"/>
      </w:rPr>
    </w:pPr>
    <w:r>
      <w:rPr>
        <w:noProof/>
      </w:rPr>
      <w:drawing>
        <wp:anchor distT="0" distB="0" distL="114935" distR="114935" simplePos="0" relativeHeight="251659264" behindDoc="1" locked="0" layoutInCell="1" allowOverlap="1" wp14:anchorId="13AAF519" wp14:editId="588B286E">
          <wp:simplePos x="0" y="0"/>
          <wp:positionH relativeFrom="column">
            <wp:posOffset>153035</wp:posOffset>
          </wp:positionH>
          <wp:positionV relativeFrom="paragraph">
            <wp:posOffset>-195580</wp:posOffset>
          </wp:positionV>
          <wp:extent cx="729615" cy="806450"/>
          <wp:effectExtent l="0" t="0" r="0" b="0"/>
          <wp:wrapTight wrapText="bothSides">
            <wp:wrapPolygon edited="0">
              <wp:start x="5640" y="5102"/>
              <wp:lineTo x="5076" y="12246"/>
              <wp:lineTo x="6204" y="14287"/>
              <wp:lineTo x="9587" y="14287"/>
              <wp:lineTo x="8460" y="16838"/>
              <wp:lineTo x="9023" y="19899"/>
              <wp:lineTo x="10151" y="20920"/>
              <wp:lineTo x="16355" y="20920"/>
              <wp:lineTo x="18047" y="20409"/>
              <wp:lineTo x="18047" y="16838"/>
              <wp:lineTo x="16355" y="14287"/>
              <wp:lineTo x="20867" y="10715"/>
              <wp:lineTo x="20867" y="6633"/>
              <wp:lineTo x="16919" y="5102"/>
              <wp:lineTo x="5640" y="5102"/>
            </wp:wrapPolygon>
          </wp:wrapTight>
          <wp:docPr id="203195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615" cy="80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B744" w14:textId="59F73D2D" w:rsidR="007858C0" w:rsidRDefault="00715703">
    <w:pPr>
      <w:pStyle w:val="Footer"/>
      <w:rPr>
        <w:lang w:eastAsia="en-US"/>
      </w:rPr>
    </w:pPr>
    <w:r>
      <w:rPr>
        <w:noProof/>
      </w:rPr>
      <w:drawing>
        <wp:anchor distT="0" distB="0" distL="114935" distR="114935" simplePos="0" relativeHeight="251656192" behindDoc="1" locked="0" layoutInCell="0" allowOverlap="1" wp14:anchorId="0316CF01" wp14:editId="6315E4CB">
          <wp:simplePos x="0" y="0"/>
          <wp:positionH relativeFrom="column">
            <wp:posOffset>635</wp:posOffset>
          </wp:positionH>
          <wp:positionV relativeFrom="paragraph">
            <wp:posOffset>-347980</wp:posOffset>
          </wp:positionV>
          <wp:extent cx="729615" cy="806450"/>
          <wp:effectExtent l="0" t="0" r="0" b="0"/>
          <wp:wrapTight wrapText="bothSides">
            <wp:wrapPolygon edited="0">
              <wp:start x="12407" y="510"/>
              <wp:lineTo x="1128" y="1531"/>
              <wp:lineTo x="0" y="2041"/>
              <wp:lineTo x="0" y="9694"/>
              <wp:lineTo x="3948" y="17858"/>
              <wp:lineTo x="6768" y="20920"/>
              <wp:lineTo x="7332" y="20920"/>
              <wp:lineTo x="13535" y="20920"/>
              <wp:lineTo x="14099" y="20920"/>
              <wp:lineTo x="17483" y="17858"/>
              <wp:lineTo x="15791" y="14287"/>
              <wp:lineTo x="12971" y="9694"/>
              <wp:lineTo x="20867" y="7654"/>
              <wp:lineTo x="20867" y="2041"/>
              <wp:lineTo x="15227" y="510"/>
              <wp:lineTo x="12407" y="510"/>
            </wp:wrapPolygon>
          </wp:wrapTight>
          <wp:docPr id="659829685" name="Picture 659829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6239" t="23523" r="-5" b="-5"/>
                  <a:stretch>
                    <a:fillRect/>
                  </a:stretch>
                </pic:blipFill>
                <pic:spPr bwMode="auto">
                  <a:xfrm>
                    <a:off x="0" y="0"/>
                    <a:ext cx="729615" cy="80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1FCA4" w14:textId="77777777" w:rsidR="00B93C1D" w:rsidRDefault="00B93C1D">
      <w:pPr>
        <w:spacing w:after="0" w:line="240" w:lineRule="auto"/>
      </w:pPr>
      <w:r>
        <w:separator/>
      </w:r>
    </w:p>
  </w:footnote>
  <w:footnote w:type="continuationSeparator" w:id="0">
    <w:p w14:paraId="2E0FADFA" w14:textId="77777777" w:rsidR="00B93C1D" w:rsidRDefault="00B93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3C183" w14:textId="78069F73" w:rsidR="007858C0" w:rsidRDefault="00715703">
    <w:pPr>
      <w:pStyle w:val="Header"/>
      <w:rPr>
        <w:lang w:eastAsia="en-US"/>
      </w:rPr>
    </w:pPr>
    <w:r>
      <w:rPr>
        <w:noProof/>
      </w:rPr>
      <w:drawing>
        <wp:anchor distT="0" distB="0" distL="114935" distR="114935" simplePos="0" relativeHeight="251658240" behindDoc="1" locked="0" layoutInCell="1" allowOverlap="1" wp14:anchorId="14B5ABDF" wp14:editId="5B055E7C">
          <wp:simplePos x="0" y="0"/>
          <wp:positionH relativeFrom="column">
            <wp:posOffset>-525780</wp:posOffset>
          </wp:positionH>
          <wp:positionV relativeFrom="paragraph">
            <wp:posOffset>-245745</wp:posOffset>
          </wp:positionV>
          <wp:extent cx="7611110" cy="1183005"/>
          <wp:effectExtent l="0" t="0" r="0" b="0"/>
          <wp:wrapTight wrapText="bothSides">
            <wp:wrapPolygon edited="0">
              <wp:start x="0" y="0"/>
              <wp:lineTo x="0" y="21217"/>
              <wp:lineTo x="21571" y="21217"/>
              <wp:lineTo x="21571" y="0"/>
              <wp:lineTo x="0" y="0"/>
            </wp:wrapPolygon>
          </wp:wrapTight>
          <wp:docPr id="198785648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1110" cy="11830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FE50C" w14:textId="65E2BB2A" w:rsidR="007858C0" w:rsidRDefault="00715703">
    <w:pPr>
      <w:pStyle w:val="Header"/>
    </w:pPr>
    <w:r>
      <w:rPr>
        <w:noProof/>
      </w:rPr>
      <w:drawing>
        <wp:anchor distT="0" distB="0" distL="114935" distR="114935" simplePos="0" relativeHeight="251657216" behindDoc="1" locked="0" layoutInCell="0" allowOverlap="1" wp14:anchorId="765924E8" wp14:editId="0BC0289D">
          <wp:simplePos x="0" y="0"/>
          <wp:positionH relativeFrom="column">
            <wp:posOffset>-678180</wp:posOffset>
          </wp:positionH>
          <wp:positionV relativeFrom="paragraph">
            <wp:posOffset>-398145</wp:posOffset>
          </wp:positionV>
          <wp:extent cx="7611110" cy="1183005"/>
          <wp:effectExtent l="0" t="0" r="0" b="0"/>
          <wp:wrapTight wrapText="bothSides">
            <wp:wrapPolygon edited="0">
              <wp:start x="0" y="0"/>
              <wp:lineTo x="0" y="21217"/>
              <wp:lineTo x="21571" y="21217"/>
              <wp:lineTo x="21571" y="0"/>
              <wp:lineTo x="0" y="0"/>
            </wp:wrapPolygon>
          </wp:wrapTight>
          <wp:docPr id="131751149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5" t="-31" r="-5" b="-31"/>
                  <a:stretch>
                    <a:fillRect/>
                  </a:stretch>
                </pic:blipFill>
                <pic:spPr bwMode="auto">
                  <a:xfrm>
                    <a:off x="0" y="0"/>
                    <a:ext cx="7611110" cy="11830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73054"/>
    <w:multiLevelType w:val="multilevel"/>
    <w:tmpl w:val="9E4C3196"/>
    <w:lvl w:ilvl="0">
      <w:start w:val="1"/>
      <w:numFmt w:val="decimal"/>
      <w:pStyle w:val="Heading1"/>
      <w:lvlText w:val="%1."/>
      <w:lvlJc w:val="left"/>
      <w:pPr>
        <w:tabs>
          <w:tab w:val="num" w:pos="1080"/>
        </w:tabs>
        <w:ind w:left="1080" w:hanging="360"/>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589C1DDC"/>
    <w:multiLevelType w:val="multilevel"/>
    <w:tmpl w:val="72A23BD0"/>
    <w:lvl w:ilvl="0">
      <w:start w:val="1"/>
      <w:numFmt w:val="decimal"/>
      <w:pStyle w:val="Listnumerotat"/>
      <w:lvlText w:val="%1."/>
      <w:lvlJc w:val="left"/>
      <w:pPr>
        <w:tabs>
          <w:tab w:val="num" w:pos="1080"/>
        </w:tabs>
        <w:ind w:left="108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8896736">
    <w:abstractNumId w:val="0"/>
  </w:num>
  <w:num w:numId="2" w16cid:durableId="694234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C0"/>
    <w:rsid w:val="00085932"/>
    <w:rsid w:val="000A7453"/>
    <w:rsid w:val="000B4EB4"/>
    <w:rsid w:val="00221D32"/>
    <w:rsid w:val="002859D5"/>
    <w:rsid w:val="002A4EDF"/>
    <w:rsid w:val="002E6583"/>
    <w:rsid w:val="00480833"/>
    <w:rsid w:val="004D2C86"/>
    <w:rsid w:val="005173CC"/>
    <w:rsid w:val="00531D3D"/>
    <w:rsid w:val="005F06AC"/>
    <w:rsid w:val="005F63A0"/>
    <w:rsid w:val="0067265E"/>
    <w:rsid w:val="006C3A51"/>
    <w:rsid w:val="00715703"/>
    <w:rsid w:val="00724B00"/>
    <w:rsid w:val="007436F8"/>
    <w:rsid w:val="007858C0"/>
    <w:rsid w:val="007955C5"/>
    <w:rsid w:val="007C28D7"/>
    <w:rsid w:val="007F18B1"/>
    <w:rsid w:val="00893E84"/>
    <w:rsid w:val="008C1F48"/>
    <w:rsid w:val="008C7BF6"/>
    <w:rsid w:val="008E6359"/>
    <w:rsid w:val="009C721E"/>
    <w:rsid w:val="00A40FAB"/>
    <w:rsid w:val="00A94D2D"/>
    <w:rsid w:val="00AD4A0E"/>
    <w:rsid w:val="00B26A11"/>
    <w:rsid w:val="00B60663"/>
    <w:rsid w:val="00B64E68"/>
    <w:rsid w:val="00B93C1D"/>
    <w:rsid w:val="00C0713A"/>
    <w:rsid w:val="00CC406D"/>
    <w:rsid w:val="00D65556"/>
    <w:rsid w:val="00D866ED"/>
    <w:rsid w:val="00DD2F35"/>
    <w:rsid w:val="00DE7EDC"/>
    <w:rsid w:val="00DF7B47"/>
    <w:rsid w:val="00E939F2"/>
    <w:rsid w:val="00EA3141"/>
    <w:rsid w:val="00F3263B"/>
    <w:rsid w:val="00FD49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9E922"/>
  <w15:docId w15:val="{3AFD0392-8EBE-8449-B9D9-33B65AA0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Times New Roman" w:eastAsia="Times New Roman" w:hAnsi="Times New Roman" w:cs="Times New Roman"/>
      <w:sz w:val="24"/>
      <w:szCs w:val="22"/>
      <w:lang w:val="en-US" w:eastAsia="zh-CN"/>
    </w:rPr>
  </w:style>
  <w:style w:type="paragraph" w:styleId="Heading1">
    <w:name w:val="heading 1"/>
    <w:basedOn w:val="Normal"/>
    <w:next w:val="BodyText"/>
    <w:uiPriority w:val="9"/>
    <w:qFormat/>
    <w:pPr>
      <w:keepNext/>
      <w:keepLines/>
      <w:numPr>
        <w:numId w:val="1"/>
      </w:numPr>
      <w:spacing w:before="480" w:after="0"/>
      <w:outlineLvl w:val="0"/>
    </w:pPr>
    <w:rPr>
      <w:rFonts w:ascii="Calibri" w:hAnsi="Calibri" w:cs=";Times New Roman"/>
      <w:b/>
      <w:bCs/>
      <w:color w:val="365F91"/>
      <w:sz w:val="28"/>
      <w:szCs w:val="28"/>
    </w:rPr>
  </w:style>
  <w:style w:type="paragraph" w:styleId="Heading2">
    <w:name w:val="heading 2"/>
    <w:basedOn w:val="Normal"/>
    <w:next w:val="BodyText"/>
    <w:uiPriority w:val="9"/>
    <w:semiHidden/>
    <w:unhideWhenUsed/>
    <w:qFormat/>
    <w:pPr>
      <w:keepNext/>
      <w:keepLines/>
      <w:numPr>
        <w:ilvl w:val="1"/>
        <w:numId w:val="1"/>
      </w:numPr>
      <w:spacing w:before="200" w:after="0"/>
      <w:outlineLvl w:val="1"/>
    </w:pPr>
    <w:rPr>
      <w:rFonts w:ascii="Calibri" w:hAnsi="Calibri" w:cs=";Times New Roman"/>
      <w:b/>
      <w:bCs/>
      <w:color w:val="4F81BD"/>
      <w:sz w:val="26"/>
      <w:szCs w:val="26"/>
    </w:rPr>
  </w:style>
  <w:style w:type="paragraph" w:styleId="Heading3">
    <w:name w:val="heading 3"/>
    <w:basedOn w:val="Normal"/>
    <w:next w:val="BodyText"/>
    <w:uiPriority w:val="9"/>
    <w:semiHidden/>
    <w:unhideWhenUsed/>
    <w:qFormat/>
    <w:pPr>
      <w:keepNext/>
      <w:keepLines/>
      <w:numPr>
        <w:ilvl w:val="2"/>
        <w:numId w:val="1"/>
      </w:numPr>
      <w:spacing w:before="200" w:after="0"/>
      <w:outlineLvl w:val="2"/>
    </w:pPr>
    <w:rPr>
      <w:rFonts w:ascii="Calibri" w:hAnsi="Calibri" w:cs=";Times New Roman"/>
      <w:b/>
      <w:bCs/>
      <w:color w:val="4F81BD"/>
    </w:rPr>
  </w:style>
  <w:style w:type="paragraph" w:styleId="Heading4">
    <w:name w:val="heading 4"/>
    <w:basedOn w:val="Normal"/>
    <w:next w:val="BodyText"/>
    <w:uiPriority w:val="9"/>
    <w:semiHidden/>
    <w:unhideWhenUsed/>
    <w:qFormat/>
    <w:pPr>
      <w:keepNext/>
      <w:keepLines/>
      <w:numPr>
        <w:ilvl w:val="3"/>
        <w:numId w:val="1"/>
      </w:numPr>
      <w:spacing w:before="200" w:after="0"/>
      <w:outlineLvl w:val="3"/>
    </w:pPr>
    <w:rPr>
      <w:rFonts w:ascii="Calibri" w:hAnsi="Calibri" w:cs=";Times New Roman"/>
      <w:b/>
      <w:bCs/>
      <w:i/>
      <w:iCs/>
      <w:color w:val="4F81BD"/>
    </w:rPr>
  </w:style>
  <w:style w:type="paragraph" w:styleId="Heading5">
    <w:name w:val="heading 5"/>
    <w:basedOn w:val="Normal"/>
    <w:next w:val="BodyText"/>
    <w:uiPriority w:val="9"/>
    <w:semiHidden/>
    <w:unhideWhenUsed/>
    <w:qFormat/>
    <w:pPr>
      <w:keepNext/>
      <w:keepLines/>
      <w:numPr>
        <w:ilvl w:val="4"/>
        <w:numId w:val="1"/>
      </w:numPr>
      <w:spacing w:before="200" w:after="0"/>
      <w:outlineLvl w:val="4"/>
    </w:pPr>
    <w:rPr>
      <w:rFonts w:ascii="Calibri" w:hAnsi="Calibri" w:cs=";Times New Roman"/>
      <w:color w:val="243F60"/>
    </w:rPr>
  </w:style>
  <w:style w:type="paragraph" w:styleId="Heading6">
    <w:name w:val="heading 6"/>
    <w:basedOn w:val="Normal"/>
    <w:next w:val="BodyText"/>
    <w:uiPriority w:val="9"/>
    <w:semiHidden/>
    <w:unhideWhenUsed/>
    <w:qFormat/>
    <w:pPr>
      <w:keepNext/>
      <w:keepLines/>
      <w:numPr>
        <w:ilvl w:val="5"/>
        <w:numId w:val="1"/>
      </w:numPr>
      <w:spacing w:before="200" w:after="0"/>
      <w:outlineLvl w:val="5"/>
    </w:pPr>
    <w:rPr>
      <w:rFonts w:ascii="Calibri" w:hAnsi="Calibri" w:cs=";Times New Roman"/>
      <w:i/>
      <w:iCs/>
      <w:color w:val="243F60"/>
    </w:rPr>
  </w:style>
  <w:style w:type="paragraph" w:styleId="Heading7">
    <w:name w:val="heading 7"/>
    <w:basedOn w:val="Normal"/>
    <w:next w:val="BodyText"/>
    <w:qFormat/>
    <w:pPr>
      <w:keepNext/>
      <w:keepLines/>
      <w:numPr>
        <w:ilvl w:val="6"/>
        <w:numId w:val="1"/>
      </w:numPr>
      <w:spacing w:before="200" w:after="0"/>
      <w:outlineLvl w:val="6"/>
    </w:pPr>
    <w:rPr>
      <w:rFonts w:ascii="Calibri" w:hAnsi="Calibri" w:cs=";Times New Roman"/>
      <w:i/>
      <w:iCs/>
      <w:color w:val="404040"/>
    </w:rPr>
  </w:style>
  <w:style w:type="paragraph" w:styleId="Heading8">
    <w:name w:val="heading 8"/>
    <w:basedOn w:val="Normal"/>
    <w:next w:val="BodyText"/>
    <w:qFormat/>
    <w:pPr>
      <w:keepNext/>
      <w:keepLines/>
      <w:numPr>
        <w:ilvl w:val="7"/>
        <w:numId w:val="1"/>
      </w:numPr>
      <w:spacing w:before="200" w:after="0"/>
      <w:outlineLvl w:val="7"/>
    </w:pPr>
    <w:rPr>
      <w:rFonts w:ascii="Calibri" w:hAnsi="Calibri" w:cs=";Times New Roman"/>
      <w:color w:val="4F81BD"/>
      <w:sz w:val="20"/>
      <w:szCs w:val="20"/>
    </w:rPr>
  </w:style>
  <w:style w:type="paragraph" w:styleId="Heading9">
    <w:name w:val="heading 9"/>
    <w:basedOn w:val="Normal"/>
    <w:next w:val="BodyText"/>
    <w:qFormat/>
    <w:pPr>
      <w:keepNext/>
      <w:keepLines/>
      <w:numPr>
        <w:ilvl w:val="8"/>
        <w:numId w:val="1"/>
      </w:numPr>
      <w:spacing w:before="200" w:after="0"/>
      <w:outlineLvl w:val="8"/>
    </w:pPr>
    <w:rPr>
      <w:rFonts w:ascii="Calibri" w:hAnsi="Calibri"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Wingdings" w:hAnsi="Wingdings" w:cs="Wingdings"/>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4z0">
    <w:name w:val="WW8Num14z0"/>
    <w:qFormat/>
    <w:rPr>
      <w:rFonts w:ascii="Times New Roman" w:eastAsia="Calibri"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Fontdeparagrafimplicit">
    <w:name w:val="Font de paragraf implicit"/>
    <w:qFormat/>
  </w:style>
  <w:style w:type="character" w:customStyle="1" w:styleId="WW-Fontdeparagrafimplicit">
    <w:name w:val="WW-Font de paragraf implicit"/>
    <w:qFormat/>
  </w:style>
  <w:style w:type="character" w:customStyle="1" w:styleId="HeaderChar">
    <w:name w:val="Header Char"/>
    <w:basedOn w:val="WW-Fontdeparagrafimplicit"/>
    <w:qFormat/>
  </w:style>
  <w:style w:type="character" w:customStyle="1" w:styleId="FooterChar">
    <w:name w:val="Footer Char"/>
    <w:basedOn w:val="WW-Fontdeparagrafimplicit"/>
    <w:qFormat/>
  </w:style>
  <w:style w:type="character" w:customStyle="1" w:styleId="Heading1Char">
    <w:name w:val="Heading 1 Char"/>
    <w:qFormat/>
    <w:rPr>
      <w:rFonts w:ascii="Calibri" w:hAnsi="Calibri" w:cs=";Times New Roman"/>
      <w:b/>
      <w:bCs/>
      <w:color w:val="365F91"/>
      <w:sz w:val="28"/>
      <w:szCs w:val="28"/>
    </w:rPr>
  </w:style>
  <w:style w:type="character" w:customStyle="1" w:styleId="Heading2Char">
    <w:name w:val="Heading 2 Char"/>
    <w:qFormat/>
    <w:rPr>
      <w:rFonts w:ascii="Calibri" w:hAnsi="Calibri" w:cs=";Times New Roman"/>
      <w:b/>
      <w:bCs/>
      <w:color w:val="4F81BD"/>
      <w:sz w:val="26"/>
      <w:szCs w:val="26"/>
    </w:rPr>
  </w:style>
  <w:style w:type="character" w:customStyle="1" w:styleId="Heading3Char">
    <w:name w:val="Heading 3 Char"/>
    <w:qFormat/>
    <w:rPr>
      <w:rFonts w:ascii="Calibri" w:hAnsi="Calibri" w:cs=";Times New Roman"/>
      <w:b/>
      <w:bCs/>
      <w:color w:val="4F81BD"/>
    </w:rPr>
  </w:style>
  <w:style w:type="character" w:customStyle="1" w:styleId="TitleChar">
    <w:name w:val="Title Char"/>
    <w:qFormat/>
    <w:rPr>
      <w:rFonts w:ascii="Calibri" w:hAnsi="Calibri" w:cs=";Times New Roman"/>
      <w:color w:val="17365D"/>
      <w:spacing w:val="5"/>
      <w:kern w:val="2"/>
      <w:sz w:val="52"/>
      <w:szCs w:val="52"/>
    </w:rPr>
  </w:style>
  <w:style w:type="character" w:customStyle="1" w:styleId="SubtitleChar">
    <w:name w:val="Subtitle Char"/>
    <w:qFormat/>
    <w:rPr>
      <w:rFonts w:ascii="Calibri" w:hAnsi="Calibri" w:cs=";Times New Roman"/>
      <w:i/>
      <w:iCs/>
      <w:color w:val="4F81BD"/>
      <w:spacing w:val="15"/>
      <w:sz w:val="24"/>
      <w:szCs w:val="24"/>
    </w:rPr>
  </w:style>
  <w:style w:type="character" w:customStyle="1" w:styleId="BodyTextChar">
    <w:name w:val="Body Text Char"/>
    <w:basedOn w:val="WW-Fontdeparagrafimplicit"/>
    <w:qFormat/>
  </w:style>
  <w:style w:type="character" w:customStyle="1" w:styleId="BodyText2Char">
    <w:name w:val="Body Text 2 Char"/>
    <w:basedOn w:val="WW-Fontdeparagrafimplicit"/>
    <w:qFormat/>
  </w:style>
  <w:style w:type="character" w:customStyle="1" w:styleId="BodyText3Char">
    <w:name w:val="Body Text 3 Char"/>
    <w:qFormat/>
    <w:rPr>
      <w:sz w:val="16"/>
      <w:szCs w:val="16"/>
    </w:rPr>
  </w:style>
  <w:style w:type="character" w:customStyle="1" w:styleId="MacroTextChar">
    <w:name w:val="Macro Text Char"/>
    <w:qFormat/>
    <w:rPr>
      <w:rFonts w:ascii="Courier" w:hAnsi="Courier" w:cs="Courier"/>
      <w:sz w:val="20"/>
      <w:szCs w:val="20"/>
    </w:rPr>
  </w:style>
  <w:style w:type="character" w:customStyle="1" w:styleId="QuoteChar">
    <w:name w:val="Quote Char"/>
    <w:qFormat/>
    <w:rPr>
      <w:i/>
      <w:iCs/>
      <w:color w:val="000000"/>
    </w:rPr>
  </w:style>
  <w:style w:type="character" w:customStyle="1" w:styleId="Heading4Char">
    <w:name w:val="Heading 4 Char"/>
    <w:qFormat/>
    <w:rPr>
      <w:rFonts w:ascii="Calibri" w:hAnsi="Calibri" w:cs=";Times New Roman"/>
      <w:b/>
      <w:bCs/>
      <w:i/>
      <w:iCs/>
      <w:color w:val="4F81BD"/>
    </w:rPr>
  </w:style>
  <w:style w:type="character" w:customStyle="1" w:styleId="Heading5Char">
    <w:name w:val="Heading 5 Char"/>
    <w:qFormat/>
    <w:rPr>
      <w:rFonts w:ascii="Calibri" w:hAnsi="Calibri" w:cs=";Times New Roman"/>
      <w:color w:val="243F60"/>
    </w:rPr>
  </w:style>
  <w:style w:type="character" w:customStyle="1" w:styleId="Heading6Char">
    <w:name w:val="Heading 6 Char"/>
    <w:qFormat/>
    <w:rPr>
      <w:rFonts w:ascii="Calibri" w:hAnsi="Calibri" w:cs=";Times New Roman"/>
      <w:i/>
      <w:iCs/>
      <w:color w:val="243F60"/>
    </w:rPr>
  </w:style>
  <w:style w:type="character" w:customStyle="1" w:styleId="Heading7Char">
    <w:name w:val="Heading 7 Char"/>
    <w:qFormat/>
    <w:rPr>
      <w:rFonts w:ascii="Calibri" w:hAnsi="Calibri" w:cs=";Times New Roman"/>
      <w:i/>
      <w:iCs/>
      <w:color w:val="404040"/>
    </w:rPr>
  </w:style>
  <w:style w:type="character" w:customStyle="1" w:styleId="Heading8Char">
    <w:name w:val="Heading 8 Char"/>
    <w:qFormat/>
    <w:rPr>
      <w:rFonts w:ascii="Calibri" w:hAnsi="Calibri" w:cs=";Times New Roman"/>
      <w:color w:val="4F81BD"/>
      <w:sz w:val="20"/>
      <w:szCs w:val="20"/>
    </w:rPr>
  </w:style>
  <w:style w:type="character" w:customStyle="1" w:styleId="Heading9Char">
    <w:name w:val="Heading 9 Char"/>
    <w:qFormat/>
    <w:rPr>
      <w:rFonts w:ascii="Calibri" w:hAnsi="Calibri" w:cs=";Times New Roman"/>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qFormat/>
    <w:rPr>
      <w:b/>
      <w:bCs/>
      <w:i/>
      <w:iCs/>
      <w:color w:val="4F81BD"/>
    </w:rPr>
  </w:style>
  <w:style w:type="character" w:customStyle="1" w:styleId="Accentuaresubtil">
    <w:name w:val="Accentuare subtilă"/>
    <w:qFormat/>
    <w:rPr>
      <w:i/>
      <w:iCs/>
      <w:color w:val="808080"/>
    </w:rPr>
  </w:style>
  <w:style w:type="character" w:customStyle="1" w:styleId="Accentuareintens">
    <w:name w:val="Accentuare intensă"/>
    <w:qFormat/>
    <w:rPr>
      <w:b/>
      <w:bCs/>
      <w:i/>
      <w:iCs/>
      <w:color w:val="4F81BD"/>
    </w:rPr>
  </w:style>
  <w:style w:type="character" w:customStyle="1" w:styleId="Referiresubtil">
    <w:name w:val="Referire subtilă"/>
    <w:qFormat/>
    <w:rPr>
      <w:smallCaps/>
      <w:color w:val="C0504D"/>
      <w:u w:val="single"/>
    </w:rPr>
  </w:style>
  <w:style w:type="character" w:customStyle="1" w:styleId="Referireintens">
    <w:name w:val="Referire intensă"/>
    <w:qFormat/>
    <w:rPr>
      <w:b/>
      <w:bCs/>
      <w:smallCaps/>
      <w:color w:val="C0504D"/>
      <w:spacing w:val="5"/>
      <w:u w:val="single"/>
    </w:rPr>
  </w:style>
  <w:style w:type="character" w:customStyle="1" w:styleId="Titlulcrii">
    <w:name w:val="Titlul cărții"/>
    <w:qFormat/>
    <w:rPr>
      <w:b/>
      <w:bCs/>
      <w:smallCaps/>
      <w:spacing w:val="5"/>
    </w:rPr>
  </w:style>
  <w:style w:type="character" w:customStyle="1" w:styleId="BalloonTextChar">
    <w:name w:val="Balloon Text Char"/>
    <w:qFormat/>
    <w:rPr>
      <w:rFonts w:ascii="Tahoma" w:hAnsi="Tahoma" w:cs="Tahoma"/>
      <w:sz w:val="16"/>
      <w:szCs w:val="16"/>
    </w:rPr>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Normal"/>
    <w:pPr>
      <w:ind w:left="360" w:hanging="360"/>
    </w:pPr>
    <w:rPr>
      <w:rFonts w:cs="Lucida Sans"/>
    </w:rPr>
  </w:style>
  <w:style w:type="paragraph" w:styleId="Caption">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Lucida Sans"/>
    </w:rPr>
  </w:style>
  <w:style w:type="paragraph" w:customStyle="1" w:styleId="Legend">
    <w:name w:val="Legendă"/>
    <w:basedOn w:val="Normal"/>
    <w:qFormat/>
    <w:pPr>
      <w:suppressLineNumbers/>
      <w:spacing w:before="120" w:after="120"/>
    </w:pPr>
    <w:rPr>
      <w:rFonts w:cs="Lucida Sans"/>
      <w:i/>
      <w:iCs/>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customStyle="1" w:styleId="Frspaiere">
    <w:name w:val="Fără spațiere"/>
    <w:qFormat/>
    <w:pPr>
      <w:suppressAutoHyphens/>
      <w:spacing w:line="100" w:lineRule="atLeast"/>
    </w:pPr>
    <w:rPr>
      <w:rFonts w:ascii="Cambria" w:eastAsia="SimSun;宋体" w:hAnsi="Cambria" w:cs=";Times New Roman"/>
      <w:sz w:val="22"/>
      <w:szCs w:val="22"/>
      <w:lang w:val="en-US" w:eastAsia="zh-CN"/>
    </w:rPr>
  </w:style>
  <w:style w:type="paragraph" w:customStyle="1" w:styleId="Titlu">
    <w:name w:val="Titlu"/>
    <w:basedOn w:val="Normal"/>
    <w:next w:val="Subtitle"/>
    <w:qFormat/>
    <w:pPr>
      <w:pBdr>
        <w:bottom w:val="single" w:sz="8" w:space="4" w:color="808080"/>
      </w:pBdr>
      <w:spacing w:after="300" w:line="100" w:lineRule="atLeast"/>
    </w:pPr>
    <w:rPr>
      <w:rFonts w:ascii="Calibri" w:hAnsi="Calibri" w:cs=";Times New Roman"/>
      <w:b/>
      <w:bCs/>
      <w:color w:val="17365D"/>
      <w:spacing w:val="5"/>
      <w:kern w:val="2"/>
      <w:sz w:val="52"/>
      <w:szCs w:val="52"/>
    </w:rPr>
  </w:style>
  <w:style w:type="paragraph" w:styleId="Subtitle">
    <w:name w:val="Subtitle"/>
    <w:basedOn w:val="Normal"/>
    <w:next w:val="BodyText"/>
    <w:uiPriority w:val="11"/>
    <w:qFormat/>
    <w:rPr>
      <w:rFonts w:ascii="Calibri" w:hAnsi="Calibri" w:cs=";Times New Roman"/>
      <w:i/>
      <w:iCs/>
      <w:color w:val="4F81BD"/>
      <w:spacing w:val="15"/>
      <w:szCs w:val="24"/>
    </w:rPr>
  </w:style>
  <w:style w:type="paragraph" w:customStyle="1" w:styleId="Listparagraf">
    <w:name w:val="Listă paragraf"/>
    <w:basedOn w:val="Normal"/>
    <w:qFormat/>
    <w:pPr>
      <w:ind w:left="720"/>
    </w:pPr>
  </w:style>
  <w:style w:type="paragraph" w:customStyle="1" w:styleId="Corptext2">
    <w:name w:val="Corp text 2"/>
    <w:basedOn w:val="Normal"/>
    <w:qFormat/>
    <w:pPr>
      <w:spacing w:after="120" w:line="480" w:lineRule="auto"/>
    </w:pPr>
  </w:style>
  <w:style w:type="paragraph" w:customStyle="1" w:styleId="Corptext3">
    <w:name w:val="Corp text 3"/>
    <w:basedOn w:val="Normal"/>
    <w:qFormat/>
    <w:pPr>
      <w:spacing w:after="120"/>
    </w:pPr>
    <w:rPr>
      <w:sz w:val="16"/>
      <w:szCs w:val="16"/>
    </w:rPr>
  </w:style>
  <w:style w:type="paragraph" w:customStyle="1" w:styleId="Lista2">
    <w:name w:val="Lista 2"/>
    <w:basedOn w:val="Normal"/>
    <w:qFormat/>
    <w:pPr>
      <w:spacing w:after="120"/>
      <w:ind w:left="720" w:hanging="360"/>
    </w:pPr>
  </w:style>
  <w:style w:type="paragraph" w:customStyle="1" w:styleId="Lista3">
    <w:name w:val="Lista 3"/>
    <w:basedOn w:val="Normal"/>
    <w:qFormat/>
    <w:pPr>
      <w:spacing w:after="120"/>
      <w:ind w:left="1080" w:hanging="360"/>
    </w:pPr>
  </w:style>
  <w:style w:type="paragraph" w:customStyle="1" w:styleId="Listcumarcatori">
    <w:name w:val="Listă cu marcatori"/>
    <w:basedOn w:val="Normal"/>
    <w:qFormat/>
  </w:style>
  <w:style w:type="paragraph" w:customStyle="1" w:styleId="Listacumarcatori2">
    <w:name w:val="Lista cu marcatori 2"/>
    <w:basedOn w:val="Normal"/>
    <w:qFormat/>
  </w:style>
  <w:style w:type="paragraph" w:customStyle="1" w:styleId="Listacumarcatori3">
    <w:name w:val="Lista cu marcatori 3"/>
    <w:basedOn w:val="Normal"/>
    <w:qFormat/>
  </w:style>
  <w:style w:type="paragraph" w:customStyle="1" w:styleId="Listnumerotat">
    <w:name w:val="Listă numerotată"/>
    <w:basedOn w:val="Normal"/>
    <w:qFormat/>
    <w:pPr>
      <w:numPr>
        <w:numId w:val="2"/>
      </w:numPr>
    </w:pPr>
  </w:style>
  <w:style w:type="paragraph" w:customStyle="1" w:styleId="Listanumerotat2">
    <w:name w:val="Lista numerotată 2"/>
    <w:basedOn w:val="Normal"/>
    <w:qFormat/>
    <w:pPr>
      <w:tabs>
        <w:tab w:val="num" w:pos="1080"/>
      </w:tabs>
      <w:ind w:left="1080" w:hanging="360"/>
    </w:pPr>
  </w:style>
  <w:style w:type="paragraph" w:customStyle="1" w:styleId="Listanumerotat3">
    <w:name w:val="Lista numerotată 3"/>
    <w:basedOn w:val="Normal"/>
    <w:qFormat/>
    <w:pPr>
      <w:tabs>
        <w:tab w:val="num" w:pos="1080"/>
      </w:tabs>
      <w:ind w:left="1080" w:hanging="360"/>
      <w:outlineLvl w:val="0"/>
    </w:pPr>
  </w:style>
  <w:style w:type="paragraph" w:customStyle="1" w:styleId="Listcontinuare">
    <w:name w:val="Listă continuare"/>
    <w:basedOn w:val="Normal"/>
    <w:qFormat/>
    <w:pPr>
      <w:spacing w:after="120"/>
      <w:ind w:left="360"/>
    </w:pPr>
  </w:style>
  <w:style w:type="paragraph" w:customStyle="1" w:styleId="Listcontinuare2">
    <w:name w:val="Listă continuare 2"/>
    <w:basedOn w:val="Normal"/>
    <w:qFormat/>
    <w:pPr>
      <w:spacing w:after="120"/>
      <w:ind w:left="720"/>
    </w:pPr>
  </w:style>
  <w:style w:type="paragraph" w:customStyle="1" w:styleId="Listcontinuare3">
    <w:name w:val="Listă continuare 3"/>
    <w:basedOn w:val="Normal"/>
    <w:qFormat/>
    <w:pPr>
      <w:spacing w:after="120"/>
      <w:ind w:left="1080"/>
    </w:pPr>
  </w:style>
  <w:style w:type="paragraph" w:styleId="MacroText">
    <w:name w:val="macro"/>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SimSun;宋体" w:hAnsi="Courier" w:cs=";Times New Roman"/>
      <w:lang w:val="en-US" w:eastAsia="zh-CN"/>
    </w:rPr>
  </w:style>
  <w:style w:type="paragraph" w:customStyle="1" w:styleId="Citat">
    <w:name w:val="Citat"/>
    <w:basedOn w:val="Normal"/>
    <w:qFormat/>
    <w:rPr>
      <w:i/>
      <w:iCs/>
      <w:color w:val="000000"/>
    </w:rPr>
  </w:style>
  <w:style w:type="paragraph" w:customStyle="1" w:styleId="caption1">
    <w:name w:val="caption1"/>
    <w:basedOn w:val="Normal"/>
    <w:qFormat/>
    <w:pPr>
      <w:spacing w:line="100" w:lineRule="atLeast"/>
    </w:pPr>
    <w:rPr>
      <w:b/>
      <w:bCs/>
      <w:color w:val="4F81BD"/>
      <w:sz w:val="18"/>
      <w:szCs w:val="18"/>
    </w:rPr>
  </w:style>
  <w:style w:type="paragraph" w:customStyle="1" w:styleId="Citatintens">
    <w:name w:val="Citat intens"/>
    <w:basedOn w:val="Normal"/>
    <w:qFormat/>
    <w:pPr>
      <w:pBdr>
        <w:bottom w:val="single" w:sz="4" w:space="4" w:color="808080"/>
      </w:pBdr>
      <w:spacing w:before="200" w:after="280"/>
      <w:ind w:left="936" w:right="936"/>
    </w:pPr>
    <w:rPr>
      <w:b/>
      <w:bCs/>
      <w:i/>
      <w:iCs/>
      <w:color w:val="4F81BD"/>
    </w:rPr>
  </w:style>
  <w:style w:type="paragraph" w:styleId="IndexHeading">
    <w:name w:val="index heading"/>
    <w:basedOn w:val="Heading"/>
    <w:pPr>
      <w:suppressLineNumbers/>
    </w:pPr>
    <w:rPr>
      <w:b/>
      <w:bCs/>
      <w:sz w:val="32"/>
      <w:szCs w:val="32"/>
    </w:rPr>
  </w:style>
  <w:style w:type="paragraph" w:styleId="TOCHeading">
    <w:name w:val="TOC Heading"/>
    <w:basedOn w:val="Heading1"/>
    <w:qFormat/>
    <w:pPr>
      <w:numPr>
        <w:numId w:val="0"/>
      </w:numPr>
      <w:suppressLineNumbers/>
      <w:outlineLvl w:val="9"/>
    </w:pPr>
    <w:rPr>
      <w:sz w:val="32"/>
      <w:szCs w:val="32"/>
    </w:rPr>
  </w:style>
  <w:style w:type="paragraph" w:customStyle="1" w:styleId="TextnBalon">
    <w:name w:val="Text în Balon"/>
    <w:basedOn w:val="Normal"/>
    <w:qFormat/>
    <w:pPr>
      <w:spacing w:after="0" w:line="100" w:lineRule="atLeast"/>
    </w:pPr>
    <w:rPr>
      <w:rFonts w:ascii="Tahoma" w:hAnsi="Tahoma" w:cs="Tahoma"/>
      <w:sz w:val="16"/>
      <w:szCs w:val="16"/>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lang w:val="en-US" w:eastAsia="zh-CN"/>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86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7796</Words>
  <Characters>45220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AEUB</Company>
  <LinksUpToDate>false</LinksUpToDate>
  <CharactersWithSpaces>52911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AEUB</dc:creator>
  <cp:lastModifiedBy>AEUB</cp:lastModifiedBy>
  <cp:revision>2</cp:revision>
  <dcterms:created xsi:type="dcterms:W3CDTF">2026-10-14T11:51:00Z</dcterms:created>
  <dcterms:modified xsi:type="dcterms:W3CDTF">2026-10-14T11:51:00Z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keywords/>
  <dc:language>en-US</dc:language>
  <cp:lastModifiedBy>Irina Matei</cp:lastModifiedBy>
  <dcterms:modified xsi:type="dcterms:W3CDTF">2026-09-29T15:16:00Z</dcterms:modified>
  <cp:revision>15</cp:revision>
  <dc:subject/>
  <dc:title/>
</cp:coreProperties>
</file>